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17A" w:rsidRPr="00711059" w:rsidRDefault="001C617A" w:rsidP="00711059">
      <w:pPr>
        <w:spacing w:line="240" w:lineRule="auto"/>
        <w:rPr>
          <w:b/>
        </w:rPr>
      </w:pPr>
      <w:r w:rsidRPr="00711059">
        <w:rPr>
          <w:b/>
          <w:noProof/>
        </w:rPr>
        <w:drawing>
          <wp:inline distT="0" distB="0" distL="0" distR="0">
            <wp:extent cx="495300" cy="971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95300" cy="971550"/>
                    </a:xfrm>
                    <a:prstGeom prst="rect">
                      <a:avLst/>
                    </a:prstGeom>
                    <a:noFill/>
                    <a:ln w="9525">
                      <a:noFill/>
                      <a:miter lim="800000"/>
                      <a:headEnd/>
                      <a:tailEnd/>
                    </a:ln>
                  </pic:spPr>
                </pic:pic>
              </a:graphicData>
            </a:graphic>
          </wp:inline>
        </w:drawing>
      </w:r>
    </w:p>
    <w:p w:rsidR="001C617A" w:rsidRPr="00711059" w:rsidRDefault="001C617A" w:rsidP="00711059">
      <w:pPr>
        <w:pStyle w:val="pStyle"/>
        <w:spacing w:line="240" w:lineRule="auto"/>
        <w:rPr>
          <w:b/>
        </w:rPr>
      </w:pPr>
      <w:r w:rsidRPr="00711059">
        <w:rPr>
          <w:b/>
        </w:rPr>
        <w:t>РЕПУБЛИКА СРБИЈА</w:t>
      </w:r>
    </w:p>
    <w:p w:rsidR="001C617A" w:rsidRPr="00711059" w:rsidRDefault="001C617A" w:rsidP="00711059">
      <w:pPr>
        <w:pStyle w:val="pStyle"/>
        <w:spacing w:line="240" w:lineRule="auto"/>
        <w:rPr>
          <w:b/>
        </w:rPr>
      </w:pPr>
      <w:r w:rsidRPr="00711059">
        <w:rPr>
          <w:b/>
        </w:rPr>
        <w:t>ЈАВНИ ИЗВРШИТЕЉ МИРОСЛАВ ИЊАЦ</w:t>
      </w:r>
    </w:p>
    <w:p w:rsidR="001C617A" w:rsidRPr="00711059" w:rsidRDefault="001C617A" w:rsidP="00711059">
      <w:pPr>
        <w:pStyle w:val="pStyle"/>
        <w:spacing w:line="240" w:lineRule="auto"/>
        <w:rPr>
          <w:b/>
        </w:rPr>
      </w:pPr>
      <w:r w:rsidRPr="00711059">
        <w:rPr>
          <w:b/>
        </w:rPr>
        <w:t>Именован за подручје</w:t>
      </w:r>
    </w:p>
    <w:p w:rsidR="001C617A" w:rsidRPr="00711059" w:rsidRDefault="001C617A" w:rsidP="00711059">
      <w:pPr>
        <w:pStyle w:val="pStyle"/>
        <w:spacing w:line="240" w:lineRule="auto"/>
        <w:rPr>
          <w:b/>
        </w:rPr>
      </w:pPr>
      <w:r w:rsidRPr="00711059">
        <w:rPr>
          <w:b/>
        </w:rPr>
        <w:t>Вишег и Привредног суда у Чачку</w:t>
      </w:r>
    </w:p>
    <w:p w:rsidR="001C617A" w:rsidRPr="00711059" w:rsidRDefault="001C617A" w:rsidP="00711059">
      <w:pPr>
        <w:pStyle w:val="pStyle"/>
        <w:spacing w:line="240" w:lineRule="auto"/>
        <w:rPr>
          <w:b/>
        </w:rPr>
      </w:pPr>
      <w:r w:rsidRPr="00711059">
        <w:rPr>
          <w:b/>
        </w:rPr>
        <w:t>Милоша Обилића бр.</w:t>
      </w:r>
      <w:r w:rsidR="003A43FB" w:rsidRPr="00711059">
        <w:rPr>
          <w:b/>
        </w:rPr>
        <w:t>20/2/2</w:t>
      </w:r>
    </w:p>
    <w:p w:rsidR="001C617A" w:rsidRPr="00711059" w:rsidRDefault="001C617A" w:rsidP="00711059">
      <w:pPr>
        <w:pStyle w:val="pStyle"/>
        <w:spacing w:line="240" w:lineRule="auto"/>
        <w:rPr>
          <w:b/>
        </w:rPr>
      </w:pPr>
      <w:r w:rsidRPr="00711059">
        <w:rPr>
          <w:b/>
        </w:rPr>
        <w:t>32000 Чачак</w:t>
      </w:r>
    </w:p>
    <w:p w:rsidR="001C617A" w:rsidRPr="00711059" w:rsidRDefault="001C617A" w:rsidP="00711059">
      <w:pPr>
        <w:pStyle w:val="pStyle"/>
        <w:spacing w:line="240" w:lineRule="auto"/>
        <w:rPr>
          <w:b/>
          <w:lang w:val="sr-Cyrl-RS"/>
        </w:rPr>
      </w:pPr>
      <w:r w:rsidRPr="00711059">
        <w:rPr>
          <w:b/>
        </w:rPr>
        <w:t xml:space="preserve">Број предмета: </w:t>
      </w:r>
      <w:r w:rsidR="00433B01" w:rsidRPr="00711059">
        <w:rPr>
          <w:b/>
          <w:bCs/>
        </w:rPr>
        <w:t>И.</w:t>
      </w:r>
      <w:r w:rsidR="00C4576D" w:rsidRPr="00711059">
        <w:rPr>
          <w:b/>
          <w:bCs/>
        </w:rPr>
        <w:t>И</w:t>
      </w:r>
      <w:r w:rsidR="00000A13">
        <w:rPr>
          <w:b/>
          <w:bCs/>
          <w:lang w:val="sr-Cyrl-RS"/>
        </w:rPr>
        <w:t>В</w:t>
      </w:r>
      <w:r w:rsidR="00DE70FD" w:rsidRPr="00711059">
        <w:rPr>
          <w:b/>
          <w:bCs/>
          <w:lang w:val="sr-Cyrl-RS"/>
        </w:rPr>
        <w:t xml:space="preserve"> </w:t>
      </w:r>
      <w:r w:rsidR="00000A13">
        <w:rPr>
          <w:b/>
          <w:bCs/>
          <w:lang w:val="sr-Cyrl-RS"/>
        </w:rPr>
        <w:t>15/23</w:t>
      </w:r>
    </w:p>
    <w:p w:rsidR="001C617A" w:rsidRDefault="001C617A" w:rsidP="00711059">
      <w:pPr>
        <w:pStyle w:val="pStyle"/>
        <w:spacing w:line="240" w:lineRule="auto"/>
        <w:rPr>
          <w:b/>
        </w:rPr>
      </w:pPr>
      <w:r w:rsidRPr="00711059">
        <w:rPr>
          <w:b/>
        </w:rPr>
        <w:t>Дана:</w:t>
      </w:r>
      <w:r w:rsidR="00510770" w:rsidRPr="00711059">
        <w:rPr>
          <w:b/>
        </w:rPr>
        <w:t xml:space="preserve"> </w:t>
      </w:r>
      <w:r w:rsidR="00711059" w:rsidRPr="00711059">
        <w:rPr>
          <w:b/>
          <w:lang w:val="sr-Cyrl-RS"/>
        </w:rPr>
        <w:t>21.04.2026</w:t>
      </w:r>
      <w:r w:rsidRPr="00711059">
        <w:rPr>
          <w:b/>
        </w:rPr>
        <w:t>.године</w:t>
      </w:r>
    </w:p>
    <w:p w:rsidR="00000A13" w:rsidRPr="00711059" w:rsidRDefault="00000A13" w:rsidP="00711059">
      <w:pPr>
        <w:pStyle w:val="pStyle"/>
        <w:spacing w:line="240" w:lineRule="auto"/>
        <w:rPr>
          <w:b/>
        </w:rPr>
      </w:pPr>
    </w:p>
    <w:p w:rsidR="00000A13" w:rsidRPr="00000A13" w:rsidRDefault="00000A13" w:rsidP="00000A13">
      <w:pPr>
        <w:suppressAutoHyphens/>
        <w:autoSpaceDN w:val="0"/>
        <w:spacing w:after="0" w:line="240" w:lineRule="auto"/>
        <w:jc w:val="both"/>
        <w:textAlignment w:val="baseline"/>
        <w:rPr>
          <w:kern w:val="3"/>
        </w:rPr>
      </w:pPr>
      <w:r w:rsidRPr="00000A13">
        <w:rPr>
          <w:b/>
          <w:kern w:val="3"/>
        </w:rPr>
        <w:t xml:space="preserve">Јавни извршитељ Мирослав Ињац у извршном поступку извршних поверилаца </w:t>
      </w:r>
      <w:r w:rsidRPr="00000A13">
        <w:rPr>
          <w:b/>
          <w:bCs/>
          <w:kern w:val="3"/>
        </w:rPr>
        <w:t xml:space="preserve">"3 BANKA" AKCIONARSKO DRUŠTVO NOVI SAD, </w:t>
      </w:r>
      <w:r w:rsidRPr="00000A13">
        <w:rPr>
          <w:kern w:val="3"/>
        </w:rPr>
        <w:t>21000 Нови Сад, ул. Булевар Ослобођења 2а, МБ 08761132, ПИБ 101643574</w:t>
      </w:r>
      <w:r w:rsidRPr="00000A13">
        <w:rPr>
          <w:b/>
          <w:kern w:val="3"/>
        </w:rPr>
        <w:t>,</w:t>
      </w:r>
      <w:r w:rsidRPr="00000A13">
        <w:rPr>
          <w:kern w:val="3"/>
        </w:rPr>
        <w:t xml:space="preserve"> против извршног дужника, </w:t>
      </w:r>
      <w:r w:rsidRPr="00000A13">
        <w:rPr>
          <w:b/>
          <w:bCs/>
          <w:kern w:val="3"/>
        </w:rPr>
        <w:t xml:space="preserve">Рајко Поповић, </w:t>
      </w:r>
      <w:r w:rsidRPr="00000A13">
        <w:rPr>
          <w:kern w:val="3"/>
        </w:rPr>
        <w:t xml:space="preserve">32300 Горњи Милановац, ул. Лозањ, ЈМБГ 1509990783415, </w:t>
      </w:r>
      <w:r w:rsidRPr="00000A13">
        <w:t>ради наплате новчаног потраживања, на основу члана 237. Закона о извршењу и обезбеђењу доноси („Службени гласник РС“ бр. 54/2019) следећи</w:t>
      </w:r>
      <w:r w:rsidRPr="00000A13">
        <w:rPr>
          <w:kern w:val="3"/>
          <w:lang/>
        </w:rPr>
        <w:t>:</w:t>
      </w:r>
    </w:p>
    <w:p w:rsidR="001C617A" w:rsidRPr="00711059" w:rsidRDefault="00D81CF9" w:rsidP="00711059">
      <w:pPr>
        <w:pStyle w:val="Heading1"/>
        <w:spacing w:line="240" w:lineRule="auto"/>
      </w:pPr>
      <w:r w:rsidRPr="00711059">
        <w:t xml:space="preserve">ЗАКЉУЧАК О ПРОДАЈИ </w:t>
      </w:r>
      <w:r w:rsidR="001D4166" w:rsidRPr="00711059">
        <w:t>НЕПОКРЕТНОСТИ</w:t>
      </w:r>
      <w:r w:rsidRPr="00711059">
        <w:t xml:space="preserve"> ПУТЕМ </w:t>
      </w:r>
    </w:p>
    <w:p w:rsidR="00D81CF9" w:rsidRPr="00711059" w:rsidRDefault="00D81CF9" w:rsidP="00711059">
      <w:pPr>
        <w:pStyle w:val="Heading1"/>
        <w:spacing w:line="240" w:lineRule="auto"/>
      </w:pPr>
      <w:r w:rsidRPr="00711059">
        <w:t>ЕЛЕКТРОНСКОГ ЈАВНОГ НАДМЕТАЊА</w:t>
      </w:r>
    </w:p>
    <w:p w:rsidR="003C58D4" w:rsidRPr="00711059" w:rsidRDefault="003C58D4" w:rsidP="00711059">
      <w:pPr>
        <w:pStyle w:val="Heading1"/>
        <w:spacing w:line="240" w:lineRule="auto"/>
        <w:ind w:firstLine="720"/>
        <w:jc w:val="both"/>
        <w:rPr>
          <w:b w:val="0"/>
          <w:bCs/>
        </w:rPr>
      </w:pPr>
      <w:r w:rsidRPr="00711059">
        <w:t xml:space="preserve">I </w:t>
      </w:r>
      <w:r w:rsidRPr="00711059">
        <w:rPr>
          <w:bCs/>
        </w:rPr>
        <w:t>Утврђује се</w:t>
      </w:r>
      <w:r w:rsidRPr="00711059">
        <w:rPr>
          <w:b w:val="0"/>
          <w:bCs/>
        </w:rPr>
        <w:t xml:space="preserve"> </w:t>
      </w:r>
      <w:r w:rsidRPr="00711059">
        <w:rPr>
          <w:bCs/>
        </w:rPr>
        <w:t>тржишна вредност</w:t>
      </w:r>
      <w:r w:rsidRPr="00711059">
        <w:rPr>
          <w:b w:val="0"/>
          <w:bCs/>
        </w:rPr>
        <w:t xml:space="preserve"> </w:t>
      </w:r>
      <w:r w:rsidRPr="00711059">
        <w:rPr>
          <w:bCs/>
        </w:rPr>
        <w:t>непокретности</w:t>
      </w:r>
      <w:r w:rsidRPr="00711059">
        <w:rPr>
          <w:b w:val="0"/>
          <w:bCs/>
        </w:rPr>
        <w:t xml:space="preserve"> које су предмет извршења</w:t>
      </w:r>
      <w:r w:rsidR="00DE70FD" w:rsidRPr="00711059">
        <w:rPr>
          <w:b w:val="0"/>
          <w:bCs/>
          <w:lang w:val="sr-Cyrl-RS"/>
        </w:rPr>
        <w:t xml:space="preserve"> и продаје </w:t>
      </w:r>
      <w:r w:rsidRPr="00711059">
        <w:rPr>
          <w:b w:val="0"/>
          <w:bCs/>
        </w:rPr>
        <w:t>и то:</w:t>
      </w:r>
    </w:p>
    <w:tbl>
      <w:tblPr>
        <w:tblStyle w:val="TableGrid"/>
        <w:tblW w:w="10476" w:type="dxa"/>
        <w:tblLook w:val="04A0" w:firstRow="1" w:lastRow="0" w:firstColumn="1" w:lastColumn="0" w:noHBand="0" w:noVBand="1"/>
      </w:tblPr>
      <w:tblGrid>
        <w:gridCol w:w="1342"/>
        <w:gridCol w:w="3217"/>
        <w:gridCol w:w="1193"/>
        <w:gridCol w:w="2340"/>
        <w:gridCol w:w="2384"/>
      </w:tblGrid>
      <w:tr w:rsidR="003C58D4" w:rsidRPr="00711059" w:rsidTr="00B81079">
        <w:trPr>
          <w:trHeight w:val="325"/>
        </w:trPr>
        <w:tc>
          <w:tcPr>
            <w:tcW w:w="1342" w:type="dxa"/>
          </w:tcPr>
          <w:p w:rsidR="003C58D4" w:rsidRPr="00711059" w:rsidRDefault="003C58D4" w:rsidP="00711059">
            <w:pPr>
              <w:jc w:val="center"/>
              <w:rPr>
                <w:b/>
                <w:color w:val="000000"/>
              </w:rPr>
            </w:pPr>
            <w:r w:rsidRPr="00711059">
              <w:rPr>
                <w:b/>
                <w:color w:val="000000"/>
              </w:rPr>
              <w:t>РБ</w:t>
            </w:r>
          </w:p>
        </w:tc>
        <w:tc>
          <w:tcPr>
            <w:tcW w:w="3217" w:type="dxa"/>
          </w:tcPr>
          <w:p w:rsidR="003C58D4" w:rsidRPr="00711059" w:rsidRDefault="003C58D4" w:rsidP="00711059">
            <w:pPr>
              <w:jc w:val="center"/>
              <w:rPr>
                <w:b/>
                <w:color w:val="000000"/>
              </w:rPr>
            </w:pPr>
            <w:r w:rsidRPr="00711059">
              <w:rPr>
                <w:b/>
                <w:color w:val="000000"/>
              </w:rPr>
              <w:t>Ближи опис ствари</w:t>
            </w:r>
          </w:p>
        </w:tc>
        <w:tc>
          <w:tcPr>
            <w:tcW w:w="1193" w:type="dxa"/>
          </w:tcPr>
          <w:p w:rsidR="003C58D4" w:rsidRPr="00711059" w:rsidRDefault="003C58D4" w:rsidP="00711059">
            <w:pPr>
              <w:jc w:val="center"/>
              <w:rPr>
                <w:b/>
                <w:color w:val="000000"/>
              </w:rPr>
            </w:pPr>
            <w:r w:rsidRPr="00711059">
              <w:rPr>
                <w:b/>
                <w:color w:val="000000"/>
              </w:rPr>
              <w:t>Ком.</w:t>
            </w:r>
          </w:p>
        </w:tc>
        <w:tc>
          <w:tcPr>
            <w:tcW w:w="2340" w:type="dxa"/>
          </w:tcPr>
          <w:p w:rsidR="003C58D4" w:rsidRPr="00711059" w:rsidRDefault="00C11B04" w:rsidP="00711059">
            <w:pPr>
              <w:jc w:val="center"/>
              <w:rPr>
                <w:b/>
                <w:color w:val="000000"/>
              </w:rPr>
            </w:pPr>
            <w:r w:rsidRPr="00711059">
              <w:rPr>
                <w:b/>
                <w:color w:val="000000"/>
              </w:rPr>
              <w:t>Процењена вредност удела извршног дужника које је предмет продаје на дан процене у дин</w:t>
            </w:r>
          </w:p>
        </w:tc>
        <w:tc>
          <w:tcPr>
            <w:tcW w:w="2384" w:type="dxa"/>
          </w:tcPr>
          <w:p w:rsidR="003C58D4" w:rsidRPr="00711059" w:rsidRDefault="003C58D4" w:rsidP="00711059">
            <w:pPr>
              <w:jc w:val="center"/>
              <w:rPr>
                <w:b/>
                <w:color w:val="000000"/>
              </w:rPr>
            </w:pPr>
          </w:p>
        </w:tc>
      </w:tr>
      <w:tr w:rsidR="00E47F0A" w:rsidRPr="00711059" w:rsidTr="00E47F0A">
        <w:trPr>
          <w:trHeight w:val="325"/>
        </w:trPr>
        <w:tc>
          <w:tcPr>
            <w:tcW w:w="1342" w:type="dxa"/>
          </w:tcPr>
          <w:p w:rsidR="00E47F0A" w:rsidRPr="00711059" w:rsidRDefault="00E47F0A" w:rsidP="00711059">
            <w:pPr>
              <w:jc w:val="center"/>
              <w:rPr>
                <w:b/>
                <w:color w:val="000000"/>
              </w:rPr>
            </w:pPr>
            <w:r w:rsidRPr="00711059">
              <w:rPr>
                <w:b/>
                <w:color w:val="000000"/>
              </w:rPr>
              <w:t>1</w:t>
            </w:r>
          </w:p>
        </w:tc>
        <w:tc>
          <w:tcPr>
            <w:tcW w:w="3217" w:type="dxa"/>
          </w:tcPr>
          <w:p w:rsidR="00E47F0A" w:rsidRPr="00711059" w:rsidRDefault="00000A13" w:rsidP="00711059">
            <w:pPr>
              <w:rPr>
                <w:color w:val="000000"/>
              </w:rPr>
            </w:pPr>
            <w:r w:rsidRPr="00000A13">
              <w:rPr>
                <w:bCs/>
                <w:lang/>
              </w:rPr>
              <w:t>КП бр. 269, подброј парцеле 3, број дела парцеле 1, укупне површине 8122 м2, у обиму удела извршног дужника 3/4, уписано у лист непокретности 399 КО Лозаљ</w:t>
            </w:r>
            <w:r w:rsidRPr="00000A13">
              <w:rPr>
                <w:bCs/>
              </w:rPr>
              <w:t xml:space="preserve"> </w:t>
            </w:r>
          </w:p>
        </w:tc>
        <w:tc>
          <w:tcPr>
            <w:tcW w:w="1193" w:type="dxa"/>
          </w:tcPr>
          <w:p w:rsidR="00E47F0A" w:rsidRPr="00711059" w:rsidRDefault="00E47F0A" w:rsidP="00711059">
            <w:pPr>
              <w:jc w:val="center"/>
              <w:rPr>
                <w:color w:val="000000"/>
              </w:rPr>
            </w:pPr>
            <w:r w:rsidRPr="00711059">
              <w:rPr>
                <w:color w:val="000000"/>
              </w:rPr>
              <w:t>1</w:t>
            </w:r>
          </w:p>
        </w:tc>
        <w:tc>
          <w:tcPr>
            <w:tcW w:w="2340" w:type="dxa"/>
          </w:tcPr>
          <w:p w:rsidR="00E47F0A" w:rsidRPr="00711059" w:rsidRDefault="00000A13" w:rsidP="00711059">
            <w:pPr>
              <w:jc w:val="center"/>
              <w:rPr>
                <w:b/>
                <w:color w:val="000000"/>
                <w:lang w:val="sr-Cyrl-RS"/>
              </w:rPr>
            </w:pPr>
            <w:r>
              <w:rPr>
                <w:b/>
                <w:color w:val="000000"/>
                <w:lang w:val="sr-Cyrl-RS"/>
              </w:rPr>
              <w:t>237.930,0</w:t>
            </w:r>
          </w:p>
        </w:tc>
        <w:tc>
          <w:tcPr>
            <w:tcW w:w="2384" w:type="dxa"/>
          </w:tcPr>
          <w:p w:rsidR="00E47F0A" w:rsidRPr="00711059" w:rsidRDefault="00E47F0A" w:rsidP="00711059">
            <w:pPr>
              <w:jc w:val="center"/>
              <w:rPr>
                <w:color w:val="000000"/>
              </w:rPr>
            </w:pPr>
          </w:p>
        </w:tc>
      </w:tr>
      <w:tr w:rsidR="008B4793" w:rsidRPr="00711059" w:rsidTr="008B4793">
        <w:trPr>
          <w:trHeight w:val="325"/>
        </w:trPr>
        <w:tc>
          <w:tcPr>
            <w:tcW w:w="1342" w:type="dxa"/>
          </w:tcPr>
          <w:p w:rsidR="008B4793" w:rsidRPr="00711059" w:rsidRDefault="008B4793" w:rsidP="00711059">
            <w:pPr>
              <w:jc w:val="center"/>
              <w:rPr>
                <w:b/>
                <w:color w:val="000000"/>
              </w:rPr>
            </w:pPr>
          </w:p>
        </w:tc>
        <w:tc>
          <w:tcPr>
            <w:tcW w:w="3217" w:type="dxa"/>
          </w:tcPr>
          <w:p w:rsidR="008B4793" w:rsidRPr="00711059" w:rsidRDefault="008B4793" w:rsidP="00711059">
            <w:pPr>
              <w:rPr>
                <w:color w:val="000000"/>
              </w:rPr>
            </w:pPr>
          </w:p>
        </w:tc>
        <w:tc>
          <w:tcPr>
            <w:tcW w:w="1193" w:type="dxa"/>
          </w:tcPr>
          <w:p w:rsidR="008B4793" w:rsidRPr="00711059" w:rsidRDefault="008B4793" w:rsidP="00711059">
            <w:pPr>
              <w:jc w:val="center"/>
              <w:rPr>
                <w:b/>
                <w:color w:val="000000"/>
              </w:rPr>
            </w:pPr>
            <w:r w:rsidRPr="00711059">
              <w:rPr>
                <w:b/>
                <w:color w:val="000000"/>
              </w:rPr>
              <w:t>Укупно:</w:t>
            </w:r>
          </w:p>
        </w:tc>
        <w:tc>
          <w:tcPr>
            <w:tcW w:w="2340" w:type="dxa"/>
          </w:tcPr>
          <w:p w:rsidR="008B4793" w:rsidRPr="00711059" w:rsidRDefault="00000A13" w:rsidP="00711059">
            <w:pPr>
              <w:jc w:val="center"/>
              <w:rPr>
                <w:b/>
                <w:color w:val="000000"/>
              </w:rPr>
            </w:pPr>
            <w:r>
              <w:rPr>
                <w:b/>
                <w:color w:val="000000"/>
                <w:lang w:val="sr-Cyrl-RS"/>
              </w:rPr>
              <w:t>237.930,00</w:t>
            </w:r>
          </w:p>
        </w:tc>
        <w:tc>
          <w:tcPr>
            <w:tcW w:w="2384" w:type="dxa"/>
          </w:tcPr>
          <w:p w:rsidR="008B4793" w:rsidRPr="00711059" w:rsidRDefault="008B4793" w:rsidP="00711059">
            <w:pPr>
              <w:jc w:val="center"/>
              <w:rPr>
                <w:b/>
                <w:color w:val="000000"/>
              </w:rPr>
            </w:pPr>
          </w:p>
        </w:tc>
      </w:tr>
    </w:tbl>
    <w:p w:rsidR="00711059" w:rsidRDefault="00711059" w:rsidP="00000A13">
      <w:pPr>
        <w:pStyle w:val="Heading1"/>
        <w:spacing w:line="240" w:lineRule="auto"/>
        <w:jc w:val="both"/>
      </w:pPr>
    </w:p>
    <w:p w:rsidR="00654A49" w:rsidRPr="00711059" w:rsidRDefault="00D81CF9" w:rsidP="00711059">
      <w:pPr>
        <w:pStyle w:val="Heading1"/>
        <w:spacing w:line="240" w:lineRule="auto"/>
        <w:ind w:firstLine="720"/>
        <w:jc w:val="both"/>
        <w:rPr>
          <w:b w:val="0"/>
          <w:lang w:val="sr-Cyrl-CS"/>
        </w:rPr>
      </w:pPr>
      <w:r w:rsidRPr="00711059">
        <w:t>I</w:t>
      </w:r>
      <w:r w:rsidR="003C58D4" w:rsidRPr="00711059">
        <w:t>I</w:t>
      </w:r>
      <w:r w:rsidR="001C617A" w:rsidRPr="00711059">
        <w:rPr>
          <w:lang w:val="sr-Cyrl-CS"/>
        </w:rPr>
        <w:t xml:space="preserve"> ОДРЕЂУЈЕ СЕ </w:t>
      </w:r>
      <w:r w:rsidR="0059418D" w:rsidRPr="00711059">
        <w:rPr>
          <w:lang w:val="sr-Cyrl-CS"/>
        </w:rPr>
        <w:t>ДРУГА</w:t>
      </w:r>
      <w:r w:rsidRPr="00711059">
        <w:rPr>
          <w:lang w:val="sr-Cyrl-CS"/>
        </w:rPr>
        <w:t xml:space="preserve"> </w:t>
      </w:r>
      <w:r w:rsidRPr="00711059">
        <w:t>ПРОДАЈА ПУТЕМ ЕЛЕКТРОНСКОГ ЈАВНОГ НАДМЕТАЊА</w:t>
      </w:r>
      <w:r w:rsidRPr="00711059">
        <w:rPr>
          <w:lang w:val="sr-Cyrl-CS"/>
        </w:rPr>
        <w:t xml:space="preserve"> </w:t>
      </w:r>
      <w:r w:rsidR="003C58D4" w:rsidRPr="00711059">
        <w:rPr>
          <w:b w:val="0"/>
          <w:lang w:val="sr-Cyrl-CS"/>
        </w:rPr>
        <w:t>непокретности</w:t>
      </w:r>
      <w:r w:rsidRPr="00711059">
        <w:rPr>
          <w:b w:val="0"/>
          <w:lang w:val="sr-Cyrl-CS"/>
        </w:rPr>
        <w:t xml:space="preserve"> у </w:t>
      </w:r>
      <w:r w:rsidR="003C58D4" w:rsidRPr="00711059">
        <w:rPr>
          <w:b w:val="0"/>
          <w:lang w:val="sr-Cyrl-CS"/>
        </w:rPr>
        <w:t>својини</w:t>
      </w:r>
      <w:r w:rsidRPr="00711059">
        <w:rPr>
          <w:b w:val="0"/>
          <w:lang w:val="sr-Cyrl-CS"/>
        </w:rPr>
        <w:t xml:space="preserve"> извршног дужника, и то:</w:t>
      </w:r>
    </w:p>
    <w:tbl>
      <w:tblPr>
        <w:tblStyle w:val="TableGrid"/>
        <w:tblW w:w="10476" w:type="dxa"/>
        <w:tblLook w:val="04A0" w:firstRow="1" w:lastRow="0" w:firstColumn="1" w:lastColumn="0" w:noHBand="0" w:noVBand="1"/>
      </w:tblPr>
      <w:tblGrid>
        <w:gridCol w:w="1342"/>
        <w:gridCol w:w="3217"/>
        <w:gridCol w:w="1193"/>
        <w:gridCol w:w="2340"/>
        <w:gridCol w:w="2384"/>
      </w:tblGrid>
      <w:tr w:rsidR="00926F86" w:rsidRPr="00711059" w:rsidTr="007D5D8B">
        <w:trPr>
          <w:trHeight w:val="325"/>
        </w:trPr>
        <w:tc>
          <w:tcPr>
            <w:tcW w:w="1342" w:type="dxa"/>
          </w:tcPr>
          <w:p w:rsidR="00926F86" w:rsidRPr="00711059" w:rsidRDefault="00926F86" w:rsidP="00711059">
            <w:pPr>
              <w:jc w:val="center"/>
              <w:rPr>
                <w:b/>
                <w:color w:val="000000"/>
              </w:rPr>
            </w:pPr>
            <w:r w:rsidRPr="00711059">
              <w:rPr>
                <w:b/>
                <w:color w:val="000000"/>
              </w:rPr>
              <w:t>1</w:t>
            </w:r>
          </w:p>
        </w:tc>
        <w:tc>
          <w:tcPr>
            <w:tcW w:w="3217" w:type="dxa"/>
          </w:tcPr>
          <w:p w:rsidR="00926F86" w:rsidRPr="00711059" w:rsidRDefault="00000A13" w:rsidP="00711059">
            <w:pPr>
              <w:rPr>
                <w:color w:val="000000"/>
              </w:rPr>
            </w:pPr>
            <w:r w:rsidRPr="00000A13">
              <w:rPr>
                <w:color w:val="000000"/>
                <w:lang/>
              </w:rPr>
              <w:t>КП бр. 269, подброј парцеле 3, број дела парцеле 1, укупне површине 8122 м2, у обиму удела извршног дужника 3/4, уписано у лист непокретности 399 КО Лозаљ</w:t>
            </w:r>
            <w:r w:rsidRPr="00711059">
              <w:rPr>
                <w:color w:val="000000"/>
              </w:rPr>
              <w:t xml:space="preserve"> </w:t>
            </w:r>
          </w:p>
        </w:tc>
        <w:tc>
          <w:tcPr>
            <w:tcW w:w="1193" w:type="dxa"/>
          </w:tcPr>
          <w:p w:rsidR="00926F86" w:rsidRPr="00711059" w:rsidRDefault="00926F86" w:rsidP="00711059">
            <w:pPr>
              <w:jc w:val="center"/>
              <w:rPr>
                <w:color w:val="000000"/>
              </w:rPr>
            </w:pPr>
            <w:r w:rsidRPr="00711059">
              <w:rPr>
                <w:color w:val="000000"/>
              </w:rPr>
              <w:t>1</w:t>
            </w:r>
          </w:p>
        </w:tc>
        <w:tc>
          <w:tcPr>
            <w:tcW w:w="2340" w:type="dxa"/>
          </w:tcPr>
          <w:p w:rsidR="00926F86" w:rsidRPr="00711059" w:rsidRDefault="00000A13" w:rsidP="00711059">
            <w:pPr>
              <w:jc w:val="center"/>
              <w:rPr>
                <w:b/>
                <w:color w:val="000000"/>
                <w:lang w:val="sr-Cyrl-RS"/>
              </w:rPr>
            </w:pPr>
            <w:r>
              <w:rPr>
                <w:b/>
                <w:color w:val="000000"/>
                <w:lang w:val="sr-Cyrl-RS"/>
              </w:rPr>
              <w:t>118.965,00</w:t>
            </w:r>
          </w:p>
        </w:tc>
        <w:tc>
          <w:tcPr>
            <w:tcW w:w="2384" w:type="dxa"/>
          </w:tcPr>
          <w:p w:rsidR="00926F86" w:rsidRPr="00711059" w:rsidRDefault="00926F86" w:rsidP="00711059">
            <w:pPr>
              <w:jc w:val="center"/>
              <w:rPr>
                <w:color w:val="000000"/>
              </w:rPr>
            </w:pPr>
          </w:p>
        </w:tc>
      </w:tr>
      <w:tr w:rsidR="00926F86" w:rsidRPr="00711059" w:rsidTr="007D5D8B">
        <w:trPr>
          <w:trHeight w:val="325"/>
        </w:trPr>
        <w:tc>
          <w:tcPr>
            <w:tcW w:w="1342" w:type="dxa"/>
          </w:tcPr>
          <w:p w:rsidR="00926F86" w:rsidRPr="00711059" w:rsidRDefault="00926F86" w:rsidP="00711059">
            <w:pPr>
              <w:jc w:val="center"/>
              <w:rPr>
                <w:b/>
                <w:color w:val="000000"/>
              </w:rPr>
            </w:pPr>
          </w:p>
        </w:tc>
        <w:tc>
          <w:tcPr>
            <w:tcW w:w="3217" w:type="dxa"/>
          </w:tcPr>
          <w:p w:rsidR="00926F86" w:rsidRPr="00711059" w:rsidRDefault="00926F86" w:rsidP="00711059">
            <w:pPr>
              <w:rPr>
                <w:color w:val="000000"/>
              </w:rPr>
            </w:pPr>
          </w:p>
        </w:tc>
        <w:tc>
          <w:tcPr>
            <w:tcW w:w="1193" w:type="dxa"/>
          </w:tcPr>
          <w:p w:rsidR="00926F86" w:rsidRPr="00711059" w:rsidRDefault="00926F86" w:rsidP="00711059">
            <w:pPr>
              <w:jc w:val="center"/>
              <w:rPr>
                <w:b/>
                <w:color w:val="000000"/>
              </w:rPr>
            </w:pPr>
            <w:r w:rsidRPr="00711059">
              <w:rPr>
                <w:b/>
                <w:color w:val="000000"/>
              </w:rPr>
              <w:t>Укупно:</w:t>
            </w:r>
          </w:p>
        </w:tc>
        <w:tc>
          <w:tcPr>
            <w:tcW w:w="2340" w:type="dxa"/>
          </w:tcPr>
          <w:p w:rsidR="00926F86" w:rsidRPr="00711059" w:rsidRDefault="00000A13" w:rsidP="00711059">
            <w:pPr>
              <w:jc w:val="center"/>
              <w:rPr>
                <w:b/>
                <w:color w:val="000000"/>
              </w:rPr>
            </w:pPr>
            <w:r>
              <w:rPr>
                <w:b/>
                <w:color w:val="000000"/>
              </w:rPr>
              <w:t>118.965,00</w:t>
            </w:r>
          </w:p>
        </w:tc>
        <w:tc>
          <w:tcPr>
            <w:tcW w:w="2384" w:type="dxa"/>
          </w:tcPr>
          <w:p w:rsidR="00926F86" w:rsidRPr="00711059" w:rsidRDefault="00926F86" w:rsidP="00711059">
            <w:pPr>
              <w:jc w:val="center"/>
              <w:rPr>
                <w:b/>
                <w:color w:val="000000"/>
              </w:rPr>
            </w:pPr>
          </w:p>
        </w:tc>
      </w:tr>
    </w:tbl>
    <w:p w:rsidR="00FC0539" w:rsidRPr="00711059" w:rsidRDefault="00FC0539" w:rsidP="00711059">
      <w:pPr>
        <w:pStyle w:val="Heading1"/>
        <w:spacing w:line="240" w:lineRule="auto"/>
        <w:jc w:val="both"/>
        <w:rPr>
          <w:b w:val="0"/>
        </w:rPr>
      </w:pPr>
    </w:p>
    <w:p w:rsidR="00711059" w:rsidRPr="00711059" w:rsidRDefault="00FC0539" w:rsidP="00711059">
      <w:pPr>
        <w:pStyle w:val="Heading1"/>
        <w:spacing w:line="240" w:lineRule="auto"/>
        <w:jc w:val="both"/>
        <w:rPr>
          <w:b w:val="0"/>
        </w:rPr>
      </w:pPr>
      <w:r w:rsidRPr="00711059">
        <w:rPr>
          <w:b w:val="0"/>
        </w:rPr>
        <w:t xml:space="preserve"> </w:t>
      </w:r>
      <w:r w:rsidR="00EE0F0E" w:rsidRPr="00711059">
        <w:rPr>
          <w:b w:val="0"/>
        </w:rPr>
        <w:tab/>
      </w:r>
      <w:r w:rsidR="00711059" w:rsidRPr="00711059">
        <w:t xml:space="preserve">III </w:t>
      </w:r>
      <w:r w:rsidR="00711059" w:rsidRPr="00711059">
        <w:rPr>
          <w:lang w:val="sr-Cyrl-RS"/>
        </w:rPr>
        <w:t>ДРУГО</w:t>
      </w:r>
      <w:r w:rsidR="00711059" w:rsidRPr="00711059">
        <w:t xml:space="preserve"> ЕЛЕКТРОНСКО ЈАВНО НАДМЕТАЊЕ </w:t>
      </w:r>
      <w:r w:rsidR="00711059" w:rsidRPr="00711059">
        <w:rPr>
          <w:b w:val="0"/>
        </w:rPr>
        <w:t xml:space="preserve">одржаће се дана </w:t>
      </w:r>
      <w:r w:rsidR="00000A13">
        <w:rPr>
          <w:u w:val="single"/>
          <w:lang w:val="sr-Cyrl-RS"/>
        </w:rPr>
        <w:t>22</w:t>
      </w:r>
      <w:r w:rsidR="00711059" w:rsidRPr="00711059">
        <w:rPr>
          <w:u w:val="single"/>
          <w:lang w:val="sr-Cyrl-RS"/>
        </w:rPr>
        <w:t xml:space="preserve">.05.2026. </w:t>
      </w:r>
      <w:r w:rsidR="00711059" w:rsidRPr="00711059">
        <w:rPr>
          <w:u w:val="single"/>
        </w:rPr>
        <w:t>године</w:t>
      </w:r>
      <w:r w:rsidR="00711059" w:rsidRPr="00711059">
        <w:rPr>
          <w:b w:val="0"/>
        </w:rPr>
        <w:t xml:space="preserve"> у периоду од 09:00 до 15:00 часова преко портала </w:t>
      </w:r>
      <w:hyperlink r:id="rId7" w:history="1">
        <w:r w:rsidR="00711059" w:rsidRPr="00711059">
          <w:rPr>
            <w:rStyle w:val="Hyperlink"/>
            <w:b w:val="0"/>
          </w:rPr>
          <w:t>www.eaukcija.sud.rs</w:t>
        </w:r>
      </w:hyperlink>
      <w:r w:rsidR="00711059" w:rsidRPr="00711059">
        <w:rPr>
          <w:b w:val="0"/>
        </w:rPr>
        <w:t>. Време за давање понуда траје најдуже 4 часа, у периоду од 09:00 до 13:00 часова. У случају да је најмање једна понуда дата у последњих 5 минута пре истека 13:00 часова, време трајања електронског јавног надметања се продужава за још пет минута, а овај поступак се понавља све док у последњих пет минута електронског јавног надметања не буде дата ниједна понуда, а најдуже до 15 часова, када се поступак електронског јавног надметања мора окончати.</w:t>
      </w:r>
    </w:p>
    <w:p w:rsidR="00711059" w:rsidRPr="00711059" w:rsidRDefault="00711059" w:rsidP="00711059">
      <w:pPr>
        <w:pStyle w:val="Heading1"/>
        <w:spacing w:line="240" w:lineRule="auto"/>
        <w:ind w:firstLine="720"/>
        <w:jc w:val="both"/>
        <w:rPr>
          <w:b w:val="0"/>
        </w:rPr>
      </w:pPr>
      <w:r w:rsidRPr="00711059">
        <w:t xml:space="preserve">IV </w:t>
      </w:r>
      <w:r w:rsidRPr="00711059">
        <w:rPr>
          <w:b w:val="0"/>
        </w:rPr>
        <w:t>Почетна цена на другом електронском надметању износи 50% од процењене вредности непокретности, како је одређено у ставу I овог закључка, док се лицитациони корак одређује у износу од 10% од почетне цене.</w:t>
      </w:r>
    </w:p>
    <w:p w:rsidR="00711059" w:rsidRPr="00711059" w:rsidRDefault="00711059" w:rsidP="00711059">
      <w:pPr>
        <w:pStyle w:val="Heading1"/>
        <w:spacing w:line="240" w:lineRule="auto"/>
        <w:ind w:firstLine="720"/>
        <w:jc w:val="both"/>
        <w:rPr>
          <w:b w:val="0"/>
        </w:rPr>
      </w:pPr>
      <w:r w:rsidRPr="00711059">
        <w:t>V</w:t>
      </w:r>
      <w:r w:rsidRPr="00711059">
        <w:rPr>
          <w:b w:val="0"/>
        </w:rPr>
        <w:t xml:space="preserve"> На јавном надметању могу као понудиоци да учествују само лица која су регистровани корисници, односно лица која су се регистровала на порталу електронског јавног надметања и која положе јемство у висини од 15% процењене вредности ствари која је предмет продаје.</w:t>
      </w:r>
    </w:p>
    <w:p w:rsidR="00711059" w:rsidRPr="00711059" w:rsidRDefault="00711059" w:rsidP="00711059">
      <w:pPr>
        <w:pStyle w:val="Heading1"/>
        <w:spacing w:line="240" w:lineRule="auto"/>
        <w:jc w:val="both"/>
        <w:rPr>
          <w:b w:val="0"/>
        </w:rPr>
      </w:pPr>
      <w:r w:rsidRPr="00711059">
        <w:rPr>
          <w:b w:val="0"/>
          <w:u w:val="single"/>
        </w:rPr>
        <w:t>Јемство се мора уплатити најкасније два дана пре одржавања јавног надметања</w:t>
      </w:r>
      <w:r w:rsidRPr="00711059">
        <w:rPr>
          <w:b w:val="0"/>
        </w:rPr>
        <w:t xml:space="preserve">. Јемство се полаже у новцу уплатом на рачун Министарства правде Републике Србије који је објављен на интернет страници портала, а после закључења електронског јавног надметања средства уплаћена у сврху јемства преносе се на наменски рачун јавног извршитеља </w:t>
      </w:r>
      <w:r w:rsidRPr="00711059">
        <w:rPr>
          <w:b w:val="0"/>
          <w:u w:val="single"/>
        </w:rPr>
        <w:t>340-13059837-77</w:t>
      </w:r>
      <w:r w:rsidRPr="00711059">
        <w:rPr>
          <w:b w:val="0"/>
        </w:rPr>
        <w:t xml:space="preserve"> који се води код Ерсте банка са напоменом „</w:t>
      </w:r>
      <w:r w:rsidRPr="00711059">
        <w:rPr>
          <w:b w:val="0"/>
          <w:u w:val="single"/>
        </w:rPr>
        <w:t>јемство за учествовање на електронском јавном надметању у предмету бр.</w:t>
      </w:r>
      <w:r w:rsidR="00000A13">
        <w:rPr>
          <w:b w:val="0"/>
          <w:u w:val="single"/>
          <w:lang w:val="sr-Cyrl-RS"/>
        </w:rPr>
        <w:t>ИИВ 15/23</w:t>
      </w:r>
      <w:r w:rsidRPr="00711059">
        <w:rPr>
          <w:b w:val="0"/>
        </w:rPr>
        <w:t>“. Након регистрације на порталу електронског јавног надметања корисник као лице које користи портал електронског јавног надметања електронским путем подноси пријаву за учествовање на електронском јавном надметању и доставља доказ о уплати јемства, када му се као понудиоцу додељује јединствени идентификациони број ради учествовања на електронском јавном надметању.</w:t>
      </w:r>
    </w:p>
    <w:p w:rsidR="00711059" w:rsidRPr="00711059" w:rsidRDefault="00711059" w:rsidP="00711059">
      <w:pPr>
        <w:pStyle w:val="Heading1"/>
        <w:spacing w:line="240" w:lineRule="auto"/>
        <w:jc w:val="both"/>
        <w:rPr>
          <w:b w:val="0"/>
        </w:rPr>
      </w:pPr>
      <w:r w:rsidRPr="00711059">
        <w:rPr>
          <w:b w:val="0"/>
        </w:rPr>
        <w:t>Извршни поверилац и заложни повериоци не полажу јемство ако њихова потраживања досежу износ јемства и ако би, с обзиром на њихов редослед намирења и процењену вредност ствари, износ јемства мога да се намири из продајне цене.</w:t>
      </w:r>
    </w:p>
    <w:p w:rsidR="00711059" w:rsidRPr="00000A13" w:rsidRDefault="00711059" w:rsidP="00000A13">
      <w:pPr>
        <w:pStyle w:val="Heading1"/>
        <w:spacing w:line="240" w:lineRule="auto"/>
        <w:jc w:val="both"/>
        <w:rPr>
          <w:b w:val="0"/>
        </w:rPr>
      </w:pPr>
      <w:r w:rsidRPr="00711059">
        <w:rPr>
          <w:b w:val="0"/>
        </w:rPr>
        <w:t>Учесник који не понуди ни почетну цену, као и учесник који одустане од јавног надметања губи јемство.</w:t>
      </w:r>
    </w:p>
    <w:p w:rsidR="00711059" w:rsidRPr="00711059" w:rsidRDefault="00711059" w:rsidP="00711059">
      <w:pPr>
        <w:pStyle w:val="Heading1"/>
        <w:spacing w:line="240" w:lineRule="auto"/>
        <w:ind w:firstLine="720"/>
        <w:jc w:val="both"/>
        <w:rPr>
          <w:b w:val="0"/>
        </w:rPr>
      </w:pPr>
      <w:r w:rsidRPr="00711059">
        <w:t>VI</w:t>
      </w:r>
      <w:r w:rsidRPr="00711059">
        <w:rPr>
          <w:b w:val="0"/>
        </w:rPr>
        <w:t xml:space="preserve"> Упозоравају се заинтересована лица да купац не може бити извршни дужник, као ни јавни извршитељ, заменик јавног извршитеља, помоћник јавног извршитеља или друго лице запослено код јавног извршитеља, независно од тога  да ли поступа у конкретном извршном поступку,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 Купац не може бити ни свако друго лице које службено учествује у конкретном извршном поступку. Купац не може бити ни лице запослено у министарству као администратор портала електронског јавног надметања, нити лице које јењегов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rsidR="00711059" w:rsidRPr="00711059" w:rsidRDefault="00711059" w:rsidP="00711059">
      <w:pPr>
        <w:pStyle w:val="Heading1"/>
        <w:spacing w:line="240" w:lineRule="auto"/>
        <w:ind w:firstLine="720"/>
        <w:jc w:val="both"/>
        <w:rPr>
          <w:b w:val="0"/>
        </w:rPr>
      </w:pPr>
      <w:r w:rsidRPr="00711059">
        <w:t xml:space="preserve">VII </w:t>
      </w:r>
      <w:r w:rsidRPr="00711059">
        <w:rPr>
          <w:b w:val="0"/>
        </w:rPr>
        <w:t xml:space="preserve">Непокретности се налазе у државини  извршног дужника, и исти је у обавези да евентуалним купцима омогући несметано разгледање истих дана  </w:t>
      </w:r>
      <w:r w:rsidR="00000A13">
        <w:rPr>
          <w:b w:val="0"/>
          <w:u w:val="single"/>
          <w:lang w:val="sr-Cyrl-RS"/>
        </w:rPr>
        <w:t>21</w:t>
      </w:r>
      <w:r w:rsidRPr="00711059">
        <w:rPr>
          <w:b w:val="0"/>
          <w:u w:val="single"/>
          <w:lang w:val="sr-Cyrl-RS"/>
        </w:rPr>
        <w:t xml:space="preserve">.05.2026. </w:t>
      </w:r>
      <w:r w:rsidRPr="00711059">
        <w:rPr>
          <w:b w:val="0"/>
          <w:u w:val="single"/>
        </w:rPr>
        <w:t>године</w:t>
      </w:r>
      <w:r w:rsidRPr="00711059">
        <w:rPr>
          <w:b w:val="0"/>
        </w:rPr>
        <w:t xml:space="preserve"> у периоду од 12 до 14 часова.</w:t>
      </w:r>
    </w:p>
    <w:p w:rsidR="00711059" w:rsidRPr="00711059" w:rsidRDefault="00711059" w:rsidP="00711059">
      <w:pPr>
        <w:pStyle w:val="Heading1"/>
        <w:spacing w:line="240" w:lineRule="auto"/>
        <w:ind w:firstLine="720"/>
        <w:jc w:val="both"/>
        <w:rPr>
          <w:b w:val="0"/>
        </w:rPr>
      </w:pPr>
      <w:r w:rsidRPr="00711059">
        <w:t>VIII</w:t>
      </w:r>
      <w:r w:rsidRPr="00711059">
        <w:rPr>
          <w:b w:val="0"/>
        </w:rPr>
        <w:t xml:space="preserve"> Најповољнији понудилац коме буде додељена ствар (купац), дужан је да уплати понуђену цену, умањену за износ положеног јемства, у року од 15 дана од дана доношења закључка о додељивању </w:t>
      </w:r>
      <w:r w:rsidRPr="00711059">
        <w:rPr>
          <w:b w:val="0"/>
          <w:lang w:val="sr-Cyrl-RS"/>
        </w:rPr>
        <w:t>не</w:t>
      </w:r>
      <w:r w:rsidRPr="00711059">
        <w:rPr>
          <w:b w:val="0"/>
        </w:rPr>
        <w:t xml:space="preserve">покретне ствари, на  наменски рачун јавног извршитеља Мирослава Ињца из Чачка, број рачуна </w:t>
      </w:r>
      <w:r w:rsidRPr="00711059">
        <w:rPr>
          <w:b w:val="0"/>
          <w:u w:val="single"/>
        </w:rPr>
        <w:t>340-13059837-77</w:t>
      </w:r>
      <w:r w:rsidRPr="00711059">
        <w:rPr>
          <w:b w:val="0"/>
        </w:rPr>
        <w:t xml:space="preserve"> који се води код Ерсте банка са напоменом „уплата остатка цене у предмету бр.</w:t>
      </w:r>
      <w:r w:rsidRPr="00711059">
        <w:rPr>
          <w:b w:val="0"/>
          <w:lang w:val="sr-Cyrl-RS"/>
        </w:rPr>
        <w:t>ИИ</w:t>
      </w:r>
      <w:r w:rsidR="00000A13">
        <w:rPr>
          <w:b w:val="0"/>
          <w:lang w:val="sr-Cyrl-RS"/>
        </w:rPr>
        <w:t>В 15/23</w:t>
      </w:r>
      <w:bookmarkStart w:id="0" w:name="_GoBack"/>
      <w:bookmarkEnd w:id="0"/>
      <w:r w:rsidRPr="00711059">
        <w:rPr>
          <w:b w:val="0"/>
        </w:rPr>
        <w:t>“. Ако најповољнији понудилац са јавног надметања не плати понуђену цену у року, закључком се оглашава да је продаја без дејства према њему и ствар се додељује другом по реду понудиоцу уз одређивање рока за плаћање понуђене цене и тако редом док се не исцрпе сви понудиоци са списка из закључка о додељивању ствари. Ако ниједан понудилац не плати понуђену цену у року, јавни извршитељ утврђује да електронско јавно надметање није успело. Купац преузима ствар по исплати купопродајне цене.</w:t>
      </w:r>
    </w:p>
    <w:p w:rsidR="00711059" w:rsidRPr="00711059" w:rsidRDefault="00711059" w:rsidP="00711059">
      <w:pPr>
        <w:pStyle w:val="Heading1"/>
        <w:spacing w:line="240" w:lineRule="auto"/>
        <w:ind w:firstLine="720"/>
        <w:jc w:val="both"/>
        <w:rPr>
          <w:b w:val="0"/>
        </w:rPr>
      </w:pPr>
      <w:r w:rsidRPr="00711059">
        <w:rPr>
          <w:b w:val="0"/>
        </w:rPr>
        <w:lastRenderedPageBreak/>
        <w:t>Ако је купац извршни поверилац чије потраживање не досеже износ продајне цене и ако би се, с обзиром на његов ред првенства, могао намирити из ње, он плаћа на име цене само разлику између потраживања и продајне цене.</w:t>
      </w:r>
    </w:p>
    <w:p w:rsidR="00711059" w:rsidRPr="00711059" w:rsidRDefault="00711059" w:rsidP="00711059">
      <w:pPr>
        <w:pStyle w:val="Heading1"/>
        <w:spacing w:line="240" w:lineRule="auto"/>
        <w:ind w:firstLine="720"/>
        <w:jc w:val="both"/>
        <w:rPr>
          <w:b w:val="0"/>
        </w:rPr>
      </w:pPr>
      <w:r w:rsidRPr="00711059">
        <w:t xml:space="preserve">IX </w:t>
      </w:r>
      <w:r w:rsidRPr="00711059">
        <w:rPr>
          <w:b w:val="0"/>
        </w:rPr>
        <w:t xml:space="preserve">Ако више лица буде учествовало на јавном надметању, понудиоцима чија понуда није прихваћена јемство се враћа одмах после закључења јавног надметања. Другом и трећем по реду понудиоцу враћа се јемство кад најповољнији понудилац плати понуђену цену у року, а трећем по реду понудиоцу и кад други по реду понудилац плати понуђену цену.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и цени која је постигнута у поступку продаје путем непосредне погодбе, а ако након тога преостане вишак, уплатиће се на рачун буџета Републике Србије. </w:t>
      </w:r>
      <w:r w:rsidRPr="00711059">
        <w:t>Јемство у сваком случају губи учесник који не понуди ни почетну цену, као и учесник који одустане од јавног надметања</w:t>
      </w:r>
      <w:r w:rsidRPr="00711059">
        <w:rPr>
          <w:b w:val="0"/>
        </w:rPr>
        <w:t>, и у том случају поступиће се по одредбама чл. 182, став 2 и 3. ЗИО.</w:t>
      </w:r>
    </w:p>
    <w:p w:rsidR="00711059" w:rsidRDefault="00711059" w:rsidP="00711059">
      <w:pPr>
        <w:pStyle w:val="Heading1"/>
        <w:spacing w:line="240" w:lineRule="auto"/>
        <w:ind w:firstLine="720"/>
        <w:jc w:val="both"/>
        <w:rPr>
          <w:b w:val="0"/>
        </w:rPr>
      </w:pPr>
      <w:r w:rsidRPr="00711059">
        <w:t>X</w:t>
      </w:r>
      <w:r w:rsidRPr="00711059">
        <w:rPr>
          <w:b w:val="0"/>
        </w:rPr>
        <w:t xml:space="preserve"> Овај закључак биће објављен на порталу електронске јавне продаје као и на огласној табли Коморе јавних извршитеља.</w:t>
      </w:r>
    </w:p>
    <w:p w:rsidR="00711059" w:rsidRPr="00711059" w:rsidRDefault="00711059" w:rsidP="00711059">
      <w:pPr>
        <w:pStyle w:val="Heading1"/>
        <w:spacing w:line="240" w:lineRule="auto"/>
        <w:ind w:firstLine="720"/>
        <w:jc w:val="both"/>
        <w:rPr>
          <w:b w:val="0"/>
        </w:rPr>
      </w:pPr>
    </w:p>
    <w:tbl>
      <w:tblPr>
        <w:tblW w:w="0" w:type="auto"/>
        <w:tblLayout w:type="fixed"/>
        <w:tblCellMar>
          <w:left w:w="10" w:type="dxa"/>
          <w:right w:w="10" w:type="dxa"/>
        </w:tblCellMar>
        <w:tblLook w:val="0000" w:firstRow="0" w:lastRow="0" w:firstColumn="0" w:lastColumn="0" w:noHBand="0" w:noVBand="0"/>
      </w:tblPr>
      <w:tblGrid>
        <w:gridCol w:w="3006"/>
        <w:gridCol w:w="3627"/>
        <w:gridCol w:w="3693"/>
      </w:tblGrid>
      <w:tr w:rsidR="00711059" w:rsidRPr="00711059" w:rsidTr="00FA26E2">
        <w:trPr>
          <w:trHeight w:val="14"/>
        </w:trPr>
        <w:tc>
          <w:tcPr>
            <w:tcW w:w="3006" w:type="dxa"/>
            <w:shd w:val="clear" w:color="auto" w:fill="auto"/>
          </w:tcPr>
          <w:p w:rsidR="00711059" w:rsidRPr="00711059" w:rsidRDefault="00711059" w:rsidP="00711059">
            <w:pPr>
              <w:pStyle w:val="pStyle"/>
              <w:spacing w:line="240" w:lineRule="auto"/>
            </w:pPr>
            <w:r w:rsidRPr="00711059">
              <w:rPr>
                <w:b/>
              </w:rPr>
              <w:t>Поука о правном леку:</w:t>
            </w:r>
          </w:p>
          <w:p w:rsidR="00711059" w:rsidRPr="00711059" w:rsidRDefault="00711059" w:rsidP="00711059">
            <w:pPr>
              <w:spacing w:line="240" w:lineRule="auto"/>
            </w:pPr>
            <w:r w:rsidRPr="00711059">
              <w:t>Против овог Закључка приговор није дозвољен.</w:t>
            </w:r>
          </w:p>
        </w:tc>
        <w:tc>
          <w:tcPr>
            <w:tcW w:w="3627" w:type="dxa"/>
            <w:shd w:val="clear" w:color="auto" w:fill="auto"/>
          </w:tcPr>
          <w:p w:rsidR="00711059" w:rsidRPr="00711059" w:rsidRDefault="00711059" w:rsidP="00711059">
            <w:pPr>
              <w:spacing w:line="240" w:lineRule="auto"/>
              <w:jc w:val="both"/>
            </w:pPr>
          </w:p>
        </w:tc>
        <w:tc>
          <w:tcPr>
            <w:tcW w:w="3693" w:type="dxa"/>
            <w:shd w:val="clear" w:color="auto" w:fill="auto"/>
          </w:tcPr>
          <w:p w:rsidR="00711059" w:rsidRPr="00711059" w:rsidRDefault="00711059" w:rsidP="00711059">
            <w:pPr>
              <w:pStyle w:val="pStyle3"/>
              <w:spacing w:line="240" w:lineRule="auto"/>
            </w:pPr>
            <w:r w:rsidRPr="00711059">
              <w:rPr>
                <w:b/>
              </w:rPr>
              <w:t>Ј А В Н И  И З В Р Ш И Т Е Љ</w:t>
            </w:r>
          </w:p>
          <w:p w:rsidR="00711059" w:rsidRPr="00711059" w:rsidRDefault="00711059" w:rsidP="00711059">
            <w:pPr>
              <w:pStyle w:val="pStyle3"/>
              <w:spacing w:line="240" w:lineRule="auto"/>
            </w:pPr>
            <w:r w:rsidRPr="00711059">
              <w:t>____________</w:t>
            </w:r>
          </w:p>
          <w:p w:rsidR="00711059" w:rsidRPr="00711059" w:rsidRDefault="00711059" w:rsidP="00711059">
            <w:pPr>
              <w:pStyle w:val="pStyle3"/>
              <w:spacing w:line="240" w:lineRule="auto"/>
            </w:pPr>
            <w:r w:rsidRPr="00711059">
              <w:t>Мирослав Ињац</w:t>
            </w:r>
          </w:p>
        </w:tc>
      </w:tr>
    </w:tbl>
    <w:p w:rsidR="00711059" w:rsidRPr="00711059" w:rsidRDefault="00711059" w:rsidP="00711059">
      <w:pPr>
        <w:spacing w:line="240" w:lineRule="auto"/>
        <w:jc w:val="both"/>
      </w:pPr>
    </w:p>
    <w:p w:rsidR="001C617A" w:rsidRPr="00711059" w:rsidRDefault="001C617A" w:rsidP="00711059">
      <w:pPr>
        <w:pStyle w:val="Heading1"/>
        <w:spacing w:line="240" w:lineRule="auto"/>
        <w:jc w:val="both"/>
        <w:rPr>
          <w:lang w:val="sr-Cyrl-RS"/>
        </w:rPr>
      </w:pPr>
    </w:p>
    <w:sectPr w:rsidR="001C617A" w:rsidRPr="00711059" w:rsidSect="0071105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6DA36C0"/>
    <w:multiLevelType w:val="hybridMultilevel"/>
    <w:tmpl w:val="74EA9E28"/>
    <w:lvl w:ilvl="0" w:tplc="CCE64048">
      <w:start w:val="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17A"/>
    <w:rsid w:val="00000A13"/>
    <w:rsid w:val="00000AD0"/>
    <w:rsid w:val="00000C6B"/>
    <w:rsid w:val="00010053"/>
    <w:rsid w:val="00016573"/>
    <w:rsid w:val="00027BE6"/>
    <w:rsid w:val="00034F8E"/>
    <w:rsid w:val="00036337"/>
    <w:rsid w:val="00066BD0"/>
    <w:rsid w:val="0008641B"/>
    <w:rsid w:val="00087005"/>
    <w:rsid w:val="000A1F62"/>
    <w:rsid w:val="000B13F9"/>
    <w:rsid w:val="000C3F5F"/>
    <w:rsid w:val="000C44C9"/>
    <w:rsid w:val="000D2D11"/>
    <w:rsid w:val="000E00FB"/>
    <w:rsid w:val="000E3A41"/>
    <w:rsid w:val="000F7EB8"/>
    <w:rsid w:val="00101C2F"/>
    <w:rsid w:val="00111095"/>
    <w:rsid w:val="00113D37"/>
    <w:rsid w:val="00113FAD"/>
    <w:rsid w:val="00135ED2"/>
    <w:rsid w:val="00157E1F"/>
    <w:rsid w:val="001601F8"/>
    <w:rsid w:val="001646E3"/>
    <w:rsid w:val="00166F89"/>
    <w:rsid w:val="00187367"/>
    <w:rsid w:val="001904DF"/>
    <w:rsid w:val="00195160"/>
    <w:rsid w:val="00196134"/>
    <w:rsid w:val="001C4A1E"/>
    <w:rsid w:val="001C617A"/>
    <w:rsid w:val="001D4166"/>
    <w:rsid w:val="001D4702"/>
    <w:rsid w:val="001F513A"/>
    <w:rsid w:val="00217622"/>
    <w:rsid w:val="002177FB"/>
    <w:rsid w:val="002242CE"/>
    <w:rsid w:val="00237E1E"/>
    <w:rsid w:val="00242BDB"/>
    <w:rsid w:val="00243496"/>
    <w:rsid w:val="002541DF"/>
    <w:rsid w:val="002574F7"/>
    <w:rsid w:val="00271BA6"/>
    <w:rsid w:val="00296707"/>
    <w:rsid w:val="00296E13"/>
    <w:rsid w:val="00297439"/>
    <w:rsid w:val="002C56DB"/>
    <w:rsid w:val="002D5CD4"/>
    <w:rsid w:val="00305D48"/>
    <w:rsid w:val="00320177"/>
    <w:rsid w:val="00330FE6"/>
    <w:rsid w:val="003353C4"/>
    <w:rsid w:val="003643D2"/>
    <w:rsid w:val="00381D48"/>
    <w:rsid w:val="00383DEA"/>
    <w:rsid w:val="003A1383"/>
    <w:rsid w:val="003A43FB"/>
    <w:rsid w:val="003C58D4"/>
    <w:rsid w:val="003D0AC6"/>
    <w:rsid w:val="003F3FB2"/>
    <w:rsid w:val="00404D91"/>
    <w:rsid w:val="004070F5"/>
    <w:rsid w:val="00412130"/>
    <w:rsid w:val="00414335"/>
    <w:rsid w:val="00432F38"/>
    <w:rsid w:val="00433B01"/>
    <w:rsid w:val="00465648"/>
    <w:rsid w:val="004B6FCD"/>
    <w:rsid w:val="004C52E8"/>
    <w:rsid w:val="004C579E"/>
    <w:rsid w:val="004D7AE4"/>
    <w:rsid w:val="00510770"/>
    <w:rsid w:val="00517B33"/>
    <w:rsid w:val="00532417"/>
    <w:rsid w:val="005364CA"/>
    <w:rsid w:val="0054213F"/>
    <w:rsid w:val="005475C2"/>
    <w:rsid w:val="0054785A"/>
    <w:rsid w:val="00576141"/>
    <w:rsid w:val="005807AD"/>
    <w:rsid w:val="00592A3D"/>
    <w:rsid w:val="0059418D"/>
    <w:rsid w:val="00594F5B"/>
    <w:rsid w:val="00595B8F"/>
    <w:rsid w:val="005F50CD"/>
    <w:rsid w:val="00611E0A"/>
    <w:rsid w:val="0062387D"/>
    <w:rsid w:val="0063018D"/>
    <w:rsid w:val="00631F2D"/>
    <w:rsid w:val="006403EB"/>
    <w:rsid w:val="00643CAE"/>
    <w:rsid w:val="00654A49"/>
    <w:rsid w:val="00680A8F"/>
    <w:rsid w:val="00694DF1"/>
    <w:rsid w:val="006953ED"/>
    <w:rsid w:val="006964B2"/>
    <w:rsid w:val="006A594B"/>
    <w:rsid w:val="006D0805"/>
    <w:rsid w:val="006D1F51"/>
    <w:rsid w:val="006D66B3"/>
    <w:rsid w:val="006E2015"/>
    <w:rsid w:val="006E60A8"/>
    <w:rsid w:val="006F398C"/>
    <w:rsid w:val="00704EE9"/>
    <w:rsid w:val="00707181"/>
    <w:rsid w:val="00711059"/>
    <w:rsid w:val="00721260"/>
    <w:rsid w:val="00722E7B"/>
    <w:rsid w:val="00731ED5"/>
    <w:rsid w:val="00741383"/>
    <w:rsid w:val="00771E22"/>
    <w:rsid w:val="007731CC"/>
    <w:rsid w:val="007819FD"/>
    <w:rsid w:val="007938E3"/>
    <w:rsid w:val="007A108A"/>
    <w:rsid w:val="007C0189"/>
    <w:rsid w:val="007C1C66"/>
    <w:rsid w:val="007D4A83"/>
    <w:rsid w:val="00807ECA"/>
    <w:rsid w:val="00830E13"/>
    <w:rsid w:val="00841515"/>
    <w:rsid w:val="00843397"/>
    <w:rsid w:val="00855224"/>
    <w:rsid w:val="00864F6C"/>
    <w:rsid w:val="008773C0"/>
    <w:rsid w:val="00877EEC"/>
    <w:rsid w:val="00884847"/>
    <w:rsid w:val="00886BEC"/>
    <w:rsid w:val="008968EB"/>
    <w:rsid w:val="008A5134"/>
    <w:rsid w:val="008A52DB"/>
    <w:rsid w:val="008B4793"/>
    <w:rsid w:val="008B47A0"/>
    <w:rsid w:val="008D7872"/>
    <w:rsid w:val="008F130C"/>
    <w:rsid w:val="00926F86"/>
    <w:rsid w:val="009374B3"/>
    <w:rsid w:val="00943631"/>
    <w:rsid w:val="00947778"/>
    <w:rsid w:val="00961190"/>
    <w:rsid w:val="009765EF"/>
    <w:rsid w:val="00985E89"/>
    <w:rsid w:val="00986264"/>
    <w:rsid w:val="00991FCE"/>
    <w:rsid w:val="00997DCD"/>
    <w:rsid w:val="009A5EE0"/>
    <w:rsid w:val="009B1870"/>
    <w:rsid w:val="009D50BF"/>
    <w:rsid w:val="009D5365"/>
    <w:rsid w:val="009F3589"/>
    <w:rsid w:val="00A07EED"/>
    <w:rsid w:val="00A106D6"/>
    <w:rsid w:val="00A1346B"/>
    <w:rsid w:val="00A65C86"/>
    <w:rsid w:val="00A66C10"/>
    <w:rsid w:val="00A73852"/>
    <w:rsid w:val="00A82F49"/>
    <w:rsid w:val="00A847D3"/>
    <w:rsid w:val="00A84E5A"/>
    <w:rsid w:val="00AD71F8"/>
    <w:rsid w:val="00AD726C"/>
    <w:rsid w:val="00AE1BA9"/>
    <w:rsid w:val="00AE7745"/>
    <w:rsid w:val="00B04A3D"/>
    <w:rsid w:val="00B065D6"/>
    <w:rsid w:val="00B06CC1"/>
    <w:rsid w:val="00B16C78"/>
    <w:rsid w:val="00B3354F"/>
    <w:rsid w:val="00B3610E"/>
    <w:rsid w:val="00B552F2"/>
    <w:rsid w:val="00B56AA2"/>
    <w:rsid w:val="00B576F1"/>
    <w:rsid w:val="00B8430F"/>
    <w:rsid w:val="00BF2333"/>
    <w:rsid w:val="00BF4291"/>
    <w:rsid w:val="00C06E9D"/>
    <w:rsid w:val="00C11B04"/>
    <w:rsid w:val="00C222BB"/>
    <w:rsid w:val="00C275BB"/>
    <w:rsid w:val="00C4576D"/>
    <w:rsid w:val="00C4690A"/>
    <w:rsid w:val="00C86CB1"/>
    <w:rsid w:val="00CA06DB"/>
    <w:rsid w:val="00CB4E82"/>
    <w:rsid w:val="00CC2B0A"/>
    <w:rsid w:val="00CC3FA5"/>
    <w:rsid w:val="00CC7A58"/>
    <w:rsid w:val="00D00AA0"/>
    <w:rsid w:val="00D0294D"/>
    <w:rsid w:val="00D25C1A"/>
    <w:rsid w:val="00D32DD1"/>
    <w:rsid w:val="00D335A6"/>
    <w:rsid w:val="00D34945"/>
    <w:rsid w:val="00D71141"/>
    <w:rsid w:val="00D73CDA"/>
    <w:rsid w:val="00D75987"/>
    <w:rsid w:val="00D81CF9"/>
    <w:rsid w:val="00D91BDE"/>
    <w:rsid w:val="00DA2866"/>
    <w:rsid w:val="00DA3C3C"/>
    <w:rsid w:val="00DA5EEF"/>
    <w:rsid w:val="00DC0900"/>
    <w:rsid w:val="00DC0CE0"/>
    <w:rsid w:val="00DE0071"/>
    <w:rsid w:val="00DE3EA9"/>
    <w:rsid w:val="00DE70FD"/>
    <w:rsid w:val="00DF1A46"/>
    <w:rsid w:val="00DF42BD"/>
    <w:rsid w:val="00E30F3F"/>
    <w:rsid w:val="00E3121B"/>
    <w:rsid w:val="00E40AB6"/>
    <w:rsid w:val="00E47F0A"/>
    <w:rsid w:val="00E55A01"/>
    <w:rsid w:val="00E56936"/>
    <w:rsid w:val="00E92BA2"/>
    <w:rsid w:val="00EB5EEE"/>
    <w:rsid w:val="00EB7FCB"/>
    <w:rsid w:val="00ED5CCB"/>
    <w:rsid w:val="00EE0F0E"/>
    <w:rsid w:val="00EF16CF"/>
    <w:rsid w:val="00EF5B96"/>
    <w:rsid w:val="00F0707A"/>
    <w:rsid w:val="00F23614"/>
    <w:rsid w:val="00F25CB7"/>
    <w:rsid w:val="00F31F82"/>
    <w:rsid w:val="00F32E11"/>
    <w:rsid w:val="00F46D66"/>
    <w:rsid w:val="00F52086"/>
    <w:rsid w:val="00FA0F9C"/>
    <w:rsid w:val="00FA5F87"/>
    <w:rsid w:val="00FB7D13"/>
    <w:rsid w:val="00FC0539"/>
    <w:rsid w:val="00FD6945"/>
    <w:rsid w:val="00FE0605"/>
    <w:rsid w:val="00FE093A"/>
    <w:rsid w:val="00FF1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7915"/>
  <w15:docId w15:val="{D9BA417E-D74E-4F53-936B-6FE3D712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2387D"/>
    <w:rPr>
      <w:rFonts w:ascii="Times New Roman" w:eastAsia="Times New Roman" w:hAnsi="Times New Roman" w:cs="Times New Roman"/>
    </w:rPr>
  </w:style>
  <w:style w:type="paragraph" w:styleId="Heading1">
    <w:name w:val="heading 1"/>
    <w:basedOn w:val="Normal"/>
    <w:link w:val="Heading1Char"/>
    <w:rsid w:val="001C617A"/>
    <w:pPr>
      <w:spacing w:before="300" w:after="300"/>
      <w:jc w:val="center"/>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617A"/>
    <w:rPr>
      <w:rFonts w:ascii="Times New Roman" w:eastAsia="Times New Roman" w:hAnsi="Times New Roman" w:cs="Times New Roman"/>
      <w:b/>
    </w:rPr>
  </w:style>
  <w:style w:type="paragraph" w:customStyle="1" w:styleId="pStyle">
    <w:name w:val="pStyle"/>
    <w:basedOn w:val="Normal"/>
    <w:rsid w:val="001C617A"/>
    <w:pPr>
      <w:spacing w:after="0"/>
      <w:jc w:val="both"/>
    </w:pPr>
  </w:style>
  <w:style w:type="paragraph" w:customStyle="1" w:styleId="pStyle3">
    <w:name w:val="pStyle3"/>
    <w:basedOn w:val="Normal"/>
    <w:rsid w:val="001C617A"/>
    <w:pPr>
      <w:spacing w:after="0"/>
      <w:jc w:val="center"/>
    </w:pPr>
  </w:style>
  <w:style w:type="paragraph" w:customStyle="1" w:styleId="pStyle2">
    <w:name w:val="pStyle2"/>
    <w:basedOn w:val="Normal"/>
    <w:rsid w:val="001C617A"/>
    <w:pPr>
      <w:spacing w:before="200"/>
      <w:ind w:firstLine="500"/>
      <w:jc w:val="both"/>
    </w:pPr>
  </w:style>
  <w:style w:type="paragraph" w:styleId="BodyText">
    <w:name w:val="Body Text"/>
    <w:basedOn w:val="Normal"/>
    <w:link w:val="BodyTextChar"/>
    <w:rsid w:val="001C617A"/>
    <w:pPr>
      <w:suppressAutoHyphens/>
      <w:spacing w:after="120"/>
    </w:pPr>
    <w:rPr>
      <w:lang w:eastAsia="ar-SA"/>
    </w:rPr>
  </w:style>
  <w:style w:type="character" w:customStyle="1" w:styleId="BodyTextChar">
    <w:name w:val="Body Text Char"/>
    <w:basedOn w:val="DefaultParagraphFont"/>
    <w:link w:val="BodyText"/>
    <w:rsid w:val="001C617A"/>
    <w:rPr>
      <w:rFonts w:ascii="Times New Roman" w:eastAsia="Times New Roman" w:hAnsi="Times New Roman" w:cs="Times New Roman"/>
      <w:lang w:eastAsia="ar-SA"/>
    </w:rPr>
  </w:style>
  <w:style w:type="paragraph" w:styleId="BalloonText">
    <w:name w:val="Balloon Text"/>
    <w:basedOn w:val="Normal"/>
    <w:link w:val="BalloonTextChar"/>
    <w:uiPriority w:val="99"/>
    <w:semiHidden/>
    <w:unhideWhenUsed/>
    <w:rsid w:val="001C6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17A"/>
    <w:rPr>
      <w:rFonts w:ascii="Tahoma" w:eastAsia="Times New Roman" w:hAnsi="Tahoma" w:cs="Tahoma"/>
      <w:sz w:val="16"/>
      <w:szCs w:val="16"/>
    </w:rPr>
  </w:style>
  <w:style w:type="paragraph" w:customStyle="1" w:styleId="Textbody">
    <w:name w:val="Text body"/>
    <w:basedOn w:val="Normal"/>
    <w:rsid w:val="004C52E8"/>
    <w:pPr>
      <w:suppressAutoHyphens/>
      <w:autoSpaceDN w:val="0"/>
      <w:spacing w:after="120"/>
      <w:textAlignment w:val="baseline"/>
    </w:pPr>
    <w:rPr>
      <w:kern w:val="3"/>
    </w:rPr>
  </w:style>
  <w:style w:type="table" w:styleId="TableGrid">
    <w:name w:val="Table Grid"/>
    <w:basedOn w:val="TableNormal"/>
    <w:uiPriority w:val="59"/>
    <w:rsid w:val="00D81CF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C05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7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aukcija.sud.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10528-E73E-42C7-A326-860A7A15C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Zlata</cp:lastModifiedBy>
  <cp:revision>2</cp:revision>
  <cp:lastPrinted>2026-04-21T12:21:00Z</cp:lastPrinted>
  <dcterms:created xsi:type="dcterms:W3CDTF">2026-04-21T12:21:00Z</dcterms:created>
  <dcterms:modified xsi:type="dcterms:W3CDTF">2026-04-21T12:21:00Z</dcterms:modified>
</cp:coreProperties>
</file>